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3B81" w14:textId="77777777" w:rsidR="00DF166A" w:rsidRPr="00DF166A" w:rsidRDefault="00DF166A" w:rsidP="00DF166A">
      <w:pPr>
        <w:spacing w:after="100" w:afterAutospacing="1" w:line="240" w:lineRule="auto"/>
        <w:outlineLvl w:val="0"/>
        <w:rPr>
          <w:rFonts w:ascii="inherit" w:eastAsia="Times New Roman" w:hAnsi="inherit" w:cs="Times New Roman"/>
          <w:color w:val="4F4C4C"/>
          <w:kern w:val="36"/>
          <w:sz w:val="43"/>
          <w:szCs w:val="43"/>
          <w:lang w:eastAsia="it-IT"/>
        </w:rPr>
      </w:pPr>
      <w:r w:rsidRPr="00DF166A">
        <w:rPr>
          <w:rFonts w:ascii="inherit" w:eastAsia="Times New Roman" w:hAnsi="inherit" w:cs="Times New Roman"/>
          <w:color w:val="4F4C4C"/>
          <w:kern w:val="36"/>
          <w:sz w:val="43"/>
          <w:szCs w:val="43"/>
          <w:lang w:eastAsia="it-IT"/>
        </w:rPr>
        <w:t>Gli indicatori della crisi d’impresa</w:t>
      </w:r>
    </w:p>
    <w:p w14:paraId="12390279" w14:textId="77777777" w:rsidR="00DF166A" w:rsidRDefault="00DF166A" w:rsidP="00DF166A">
      <w:pPr>
        <w:spacing w:after="100" w:afterAutospacing="1" w:line="240" w:lineRule="auto"/>
        <w:jc w:val="both"/>
        <w:rPr>
          <w:rFonts w:ascii="&amp;quot" w:eastAsia="Times New Roman" w:hAnsi="&amp;quot" w:cs="Times New Roman"/>
          <w:color w:val="000000"/>
          <w:sz w:val="27"/>
          <w:szCs w:val="27"/>
          <w:lang w:eastAsia="it-IT"/>
        </w:rPr>
      </w:pPr>
      <w:r w:rsidRPr="00DF166A">
        <w:rPr>
          <w:rFonts w:ascii="&amp;quot" w:eastAsia="Times New Roman" w:hAnsi="&amp;quot" w:cs="Times New Roman"/>
          <w:color w:val="000000"/>
          <w:sz w:val="27"/>
          <w:szCs w:val="27"/>
          <w:lang w:eastAsia="it-IT"/>
        </w:rPr>
        <w:t xml:space="preserve">Il Codice della crisi d’impresa e dell’insolvenza, che riforma </w:t>
      </w:r>
      <w:proofErr w:type="gramStart"/>
      <w:r w:rsidRPr="00DF166A">
        <w:rPr>
          <w:rFonts w:ascii="&amp;quot" w:eastAsia="Times New Roman" w:hAnsi="&amp;quot" w:cs="Times New Roman"/>
          <w:color w:val="000000"/>
          <w:sz w:val="27"/>
          <w:szCs w:val="27"/>
          <w:lang w:eastAsia="it-IT"/>
        </w:rPr>
        <w:t>le procedura</w:t>
      </w:r>
      <w:proofErr w:type="gramEnd"/>
      <w:r w:rsidRPr="00DF166A">
        <w:rPr>
          <w:rFonts w:ascii="&amp;quot" w:eastAsia="Times New Roman" w:hAnsi="&amp;quot" w:cs="Times New Roman"/>
          <w:color w:val="000000"/>
          <w:sz w:val="27"/>
          <w:szCs w:val="27"/>
          <w:lang w:eastAsia="it-IT"/>
        </w:rPr>
        <w:t xml:space="preserve"> di composizione della crisi aziendale, è stato pubblicato in Gazzetta Ufficiale 14.02.2019 (Serie Generale 14.02.2019, n. 38 - Suppl. Ordinario n. 6). Tra le novità spicca senza dubbio l’introduzione dei c.d. indicatori della crisi aziendale che, se presenti, obbligano l’imprenditore ad adottare le misure previste dal Codice stesso. In particolare, l’art. 13 stabilisce che costituiscono indicatori di crisi gli squilibri di carattere reddituale, patrimoniale o finanziario, rapportati alle </w:t>
      </w:r>
      <w:r w:rsidRPr="00DF166A">
        <w:rPr>
          <w:rFonts w:ascii="&amp;quot" w:eastAsia="Times New Roman" w:hAnsi="&amp;quot" w:cs="Times New Roman"/>
          <w:b/>
          <w:bCs/>
          <w:color w:val="000000"/>
          <w:sz w:val="27"/>
          <w:szCs w:val="27"/>
          <w:lang w:eastAsia="it-IT"/>
        </w:rPr>
        <w:t xml:space="preserve">specifiche caratteristiche dell’impresa </w:t>
      </w:r>
      <w:r w:rsidRPr="00DF166A">
        <w:rPr>
          <w:rFonts w:ascii="&amp;quot" w:eastAsia="Times New Roman" w:hAnsi="&amp;quot" w:cs="Times New Roman"/>
          <w:color w:val="000000"/>
          <w:sz w:val="27"/>
          <w:szCs w:val="27"/>
          <w:lang w:eastAsia="it-IT"/>
        </w:rPr>
        <w:t xml:space="preserve">e dell’attività imprenditoriale svolta dal debitore, tenuto conto della data di costituzione e di inizio dell’attività, rilevabili attraverso appositi indici che diano evidenza della </w:t>
      </w:r>
      <w:r w:rsidRPr="00DF166A">
        <w:rPr>
          <w:rFonts w:ascii="&amp;quot" w:eastAsia="Times New Roman" w:hAnsi="&amp;quot" w:cs="Times New Roman"/>
          <w:b/>
          <w:bCs/>
          <w:color w:val="000000"/>
          <w:sz w:val="27"/>
          <w:szCs w:val="27"/>
          <w:lang w:eastAsia="it-IT"/>
        </w:rPr>
        <w:t xml:space="preserve">sostenibilità dei debiti per almeno i sei mesi successivi </w:t>
      </w:r>
      <w:r w:rsidRPr="00DF166A">
        <w:rPr>
          <w:rFonts w:ascii="&amp;quot" w:eastAsia="Times New Roman" w:hAnsi="&amp;quot" w:cs="Times New Roman"/>
          <w:color w:val="000000"/>
          <w:sz w:val="27"/>
          <w:szCs w:val="27"/>
          <w:lang w:eastAsia="it-IT"/>
        </w:rPr>
        <w:t>e delle prospettive di continuità aziendale per l’esercizio in corso o, quando la durata residua dell’esercizio al momento della valutazione è inferiore a sei mesi, per i sei mesi successivi.</w:t>
      </w:r>
    </w:p>
    <w:p w14:paraId="1765E636" w14:textId="77777777" w:rsidR="00DF166A" w:rsidRDefault="00DF166A" w:rsidP="00DF166A">
      <w:pPr>
        <w:spacing w:after="100" w:afterAutospacing="1" w:line="240" w:lineRule="auto"/>
        <w:jc w:val="both"/>
        <w:rPr>
          <w:rFonts w:ascii="&amp;quot" w:eastAsia="Times New Roman" w:hAnsi="&amp;quot" w:cs="Times New Roman"/>
          <w:color w:val="000000"/>
          <w:sz w:val="27"/>
          <w:szCs w:val="27"/>
          <w:lang w:eastAsia="it-IT"/>
        </w:rPr>
      </w:pPr>
      <w:r w:rsidRPr="00DF166A">
        <w:rPr>
          <w:rFonts w:ascii="&amp;quot" w:eastAsia="Times New Roman" w:hAnsi="&amp;quot" w:cs="Times New Roman"/>
          <w:color w:val="000000"/>
          <w:sz w:val="27"/>
          <w:szCs w:val="27"/>
          <w:lang w:eastAsia="it-IT"/>
        </w:rPr>
        <w:t xml:space="preserve">A tal fine, sono indici significativi quelli che misurano: </w:t>
      </w:r>
      <w:r w:rsidRPr="00DF166A">
        <w:rPr>
          <w:rFonts w:ascii="&amp;quot" w:eastAsia="Times New Roman" w:hAnsi="&amp;quot" w:cs="Times New Roman"/>
          <w:b/>
          <w:bCs/>
          <w:color w:val="000000"/>
          <w:sz w:val="27"/>
          <w:szCs w:val="27"/>
          <w:lang w:eastAsia="it-IT"/>
        </w:rPr>
        <w:t xml:space="preserve">1) </w:t>
      </w:r>
      <w:r w:rsidRPr="00DF166A">
        <w:rPr>
          <w:rFonts w:ascii="&amp;quot" w:eastAsia="Times New Roman" w:hAnsi="&amp;quot" w:cs="Times New Roman"/>
          <w:color w:val="000000"/>
          <w:sz w:val="27"/>
          <w:szCs w:val="27"/>
          <w:lang w:eastAsia="it-IT"/>
        </w:rPr>
        <w:t xml:space="preserve">la sostenibilità degli oneri dell’indebitamento con i flussi di cassa che l’impresa è in grado di generare e l’adeguatezza dei mezzi propri rispetto a quelli di terzi; </w:t>
      </w:r>
      <w:r w:rsidRPr="00DF166A">
        <w:rPr>
          <w:rFonts w:ascii="&amp;quot" w:eastAsia="Times New Roman" w:hAnsi="&amp;quot" w:cs="Times New Roman"/>
          <w:b/>
          <w:bCs/>
          <w:color w:val="000000"/>
          <w:sz w:val="27"/>
          <w:szCs w:val="27"/>
          <w:lang w:eastAsia="it-IT"/>
        </w:rPr>
        <w:t>2)</w:t>
      </w:r>
      <w:r w:rsidRPr="00DF166A">
        <w:rPr>
          <w:rFonts w:ascii="&amp;quot" w:eastAsia="Times New Roman" w:hAnsi="&amp;quot" w:cs="Times New Roman"/>
          <w:color w:val="000000"/>
          <w:sz w:val="27"/>
          <w:szCs w:val="27"/>
          <w:lang w:eastAsia="it-IT"/>
        </w:rPr>
        <w:t xml:space="preserve"> i ritardi nei pagamenti reiterati e significativi.</w:t>
      </w:r>
    </w:p>
    <w:p w14:paraId="2629949D" w14:textId="77777777" w:rsidR="00DF166A" w:rsidRDefault="00DF166A" w:rsidP="00DF166A">
      <w:pPr>
        <w:spacing w:after="100" w:afterAutospacing="1" w:line="240" w:lineRule="auto"/>
        <w:jc w:val="both"/>
        <w:rPr>
          <w:rFonts w:ascii="&amp;quot" w:eastAsia="Times New Roman" w:hAnsi="&amp;quot" w:cs="Times New Roman"/>
          <w:color w:val="000000"/>
          <w:sz w:val="27"/>
          <w:szCs w:val="27"/>
          <w:lang w:eastAsia="it-IT"/>
        </w:rPr>
      </w:pPr>
      <w:r w:rsidRPr="00DF166A">
        <w:rPr>
          <w:rFonts w:ascii="&amp;quot" w:eastAsia="Times New Roman" w:hAnsi="&amp;quot" w:cs="Times New Roman"/>
          <w:color w:val="000000"/>
          <w:sz w:val="27"/>
          <w:szCs w:val="27"/>
          <w:lang w:eastAsia="it-IT"/>
        </w:rPr>
        <w:t xml:space="preserve">Il successivo art. 14 stabilisce che gli </w:t>
      </w:r>
      <w:r w:rsidRPr="00DF166A">
        <w:rPr>
          <w:rFonts w:ascii="&amp;quot" w:eastAsia="Times New Roman" w:hAnsi="&amp;quot" w:cs="Times New Roman"/>
          <w:b/>
          <w:bCs/>
          <w:color w:val="000000"/>
          <w:sz w:val="27"/>
          <w:szCs w:val="27"/>
          <w:lang w:eastAsia="it-IT"/>
        </w:rPr>
        <w:t>organi di controllo societari</w:t>
      </w:r>
      <w:r w:rsidRPr="00DF166A">
        <w:rPr>
          <w:rFonts w:ascii="&amp;quot" w:eastAsia="Times New Roman" w:hAnsi="&amp;quot" w:cs="Times New Roman"/>
          <w:color w:val="000000"/>
          <w:sz w:val="27"/>
          <w:szCs w:val="27"/>
          <w:lang w:eastAsia="it-IT"/>
        </w:rPr>
        <w:t>, il revisore contabile e la società di revisione, ciascuno nell’ambito delle proprie funzioni, hanno l’obbligo di verificare che l’organo amministrativo valuti costantemente, assumendo le conseguenti idonee iniziative, se l’assetto organizzativo dell’impresa sia adeguato, se sussiste l’equilibrio economico-finanziario e quale è il prevedibile andamento della gestione, nonché di segnalare immediatamente allo stesso organo amministrativo l’esistenza di fondati indizi della crisi.</w:t>
      </w:r>
    </w:p>
    <w:p w14:paraId="11671962" w14:textId="2437233A" w:rsidR="00DF166A" w:rsidRPr="00DF166A" w:rsidRDefault="00DF166A" w:rsidP="00DF166A">
      <w:pPr>
        <w:spacing w:after="100" w:afterAutospacing="1" w:line="240" w:lineRule="auto"/>
        <w:jc w:val="both"/>
        <w:rPr>
          <w:rFonts w:ascii="&amp;quot" w:eastAsia="Times New Roman" w:hAnsi="&amp;quot" w:cs="Times New Roman"/>
          <w:color w:val="000000"/>
          <w:sz w:val="27"/>
          <w:szCs w:val="27"/>
          <w:lang w:eastAsia="it-IT"/>
        </w:rPr>
      </w:pPr>
      <w:r w:rsidRPr="00DF166A">
        <w:rPr>
          <w:rFonts w:ascii="&amp;quot" w:eastAsia="Times New Roman" w:hAnsi="&amp;quot" w:cs="Times New Roman"/>
          <w:color w:val="000000"/>
          <w:sz w:val="27"/>
          <w:szCs w:val="27"/>
          <w:lang w:eastAsia="it-IT"/>
        </w:rPr>
        <w:t xml:space="preserve">Laddove l’organo </w:t>
      </w:r>
      <w:proofErr w:type="spellStart"/>
      <w:r w:rsidRPr="00DF166A">
        <w:rPr>
          <w:rFonts w:ascii="&amp;quot" w:eastAsia="Times New Roman" w:hAnsi="&amp;quot" w:cs="Times New Roman"/>
          <w:color w:val="000000"/>
          <w:sz w:val="27"/>
          <w:szCs w:val="27"/>
          <w:lang w:eastAsia="it-IT"/>
        </w:rPr>
        <w:t>gestorio</w:t>
      </w:r>
      <w:proofErr w:type="spellEnd"/>
      <w:r w:rsidRPr="00DF166A">
        <w:rPr>
          <w:rFonts w:ascii="&amp;quot" w:eastAsia="Times New Roman" w:hAnsi="&amp;quot" w:cs="Times New Roman"/>
          <w:color w:val="000000"/>
          <w:sz w:val="27"/>
          <w:szCs w:val="27"/>
          <w:lang w:eastAsia="it-IT"/>
        </w:rPr>
        <w:t xml:space="preserve"> abbia prontamente segnalato le criticità connesse con la gestione societaria, i suoi componenti beneficeranno dell’</w:t>
      </w:r>
      <w:r w:rsidRPr="00DF166A">
        <w:rPr>
          <w:rFonts w:ascii="&amp;quot" w:eastAsia="Times New Roman" w:hAnsi="&amp;quot" w:cs="Times New Roman"/>
          <w:b/>
          <w:bCs/>
          <w:color w:val="000000"/>
          <w:sz w:val="27"/>
          <w:szCs w:val="27"/>
          <w:lang w:eastAsia="it-IT"/>
        </w:rPr>
        <w:t xml:space="preserve">esenzione da ogni responsabilità </w:t>
      </w:r>
      <w:r w:rsidRPr="00DF166A">
        <w:rPr>
          <w:rFonts w:ascii="&amp;quot" w:eastAsia="Times New Roman" w:hAnsi="&amp;quot" w:cs="Times New Roman"/>
          <w:color w:val="000000"/>
          <w:sz w:val="27"/>
          <w:szCs w:val="27"/>
          <w:lang w:eastAsia="it-IT"/>
        </w:rPr>
        <w:t xml:space="preserve">per le conseguenze pregiudizievoli delle omissioni o azioni successivamente </w:t>
      </w:r>
      <w:proofErr w:type="gramStart"/>
      <w:r w:rsidRPr="00DF166A">
        <w:rPr>
          <w:rFonts w:ascii="&amp;quot" w:eastAsia="Times New Roman" w:hAnsi="&amp;quot" w:cs="Times New Roman"/>
          <w:color w:val="000000"/>
          <w:sz w:val="27"/>
          <w:szCs w:val="27"/>
          <w:lang w:eastAsia="it-IT"/>
        </w:rPr>
        <w:t>poste in essere</w:t>
      </w:r>
      <w:proofErr w:type="gramEnd"/>
      <w:r w:rsidRPr="00DF166A">
        <w:rPr>
          <w:rFonts w:ascii="&amp;quot" w:eastAsia="Times New Roman" w:hAnsi="&amp;quot" w:cs="Times New Roman"/>
          <w:color w:val="000000"/>
          <w:sz w:val="27"/>
          <w:szCs w:val="27"/>
          <w:lang w:eastAsia="it-IT"/>
        </w:rPr>
        <w:t xml:space="preserve"> dal predetto organo, che non siano conseguenza diretta di decisioni assunte prima della segnalazione. Nel caso in cui la società non ponga in essere idonee misure propedeutiche alla ristrutturazione societaria, gli organi di controllo societari, il revisore contabile e la società di revisione, nonché i c.d. </w:t>
      </w:r>
      <w:r w:rsidRPr="00DF166A">
        <w:rPr>
          <w:rFonts w:ascii="&amp;quot" w:eastAsia="Times New Roman" w:hAnsi="&amp;quot" w:cs="Times New Roman"/>
          <w:b/>
          <w:bCs/>
          <w:color w:val="000000"/>
          <w:sz w:val="27"/>
          <w:szCs w:val="27"/>
          <w:lang w:eastAsia="it-IT"/>
        </w:rPr>
        <w:t>creditori pubblici qualificati</w:t>
      </w:r>
      <w:r w:rsidRPr="00DF166A">
        <w:rPr>
          <w:rFonts w:ascii="&amp;quot" w:eastAsia="Times New Roman" w:hAnsi="&amp;quot" w:cs="Times New Roman"/>
          <w:color w:val="000000"/>
          <w:sz w:val="27"/>
          <w:szCs w:val="27"/>
          <w:lang w:eastAsia="it-IT"/>
        </w:rPr>
        <w:t>, debbono inviare una segnalazione all’OCRI (Organismo di composizione della crisi d’impresa) che coadiuverà il debitore nell’adottare le misure ritenute più idonee per il superamento dello stato di crisi.</w:t>
      </w:r>
      <w:r w:rsidRPr="00DF166A">
        <w:rPr>
          <w:rFonts w:ascii="&amp;quot" w:eastAsia="Times New Roman" w:hAnsi="&amp;quot" w:cs="Times New Roman"/>
          <w:color w:val="000000"/>
          <w:sz w:val="27"/>
          <w:szCs w:val="27"/>
          <w:lang w:eastAsia="it-IT"/>
        </w:rPr>
        <w:br/>
        <w:t>All’imprenditore che ha presentato all’</w:t>
      </w:r>
      <w:r w:rsidRPr="00DF166A">
        <w:rPr>
          <w:rFonts w:ascii="&amp;quot" w:eastAsia="Times New Roman" w:hAnsi="&amp;quot" w:cs="Times New Roman"/>
          <w:b/>
          <w:bCs/>
          <w:color w:val="000000"/>
          <w:sz w:val="27"/>
          <w:szCs w:val="27"/>
          <w:lang w:eastAsia="it-IT"/>
        </w:rPr>
        <w:t xml:space="preserve">OCRI </w:t>
      </w:r>
      <w:r w:rsidRPr="00DF166A">
        <w:rPr>
          <w:rFonts w:ascii="&amp;quot" w:eastAsia="Times New Roman" w:hAnsi="&amp;quot" w:cs="Times New Roman"/>
          <w:color w:val="000000"/>
          <w:sz w:val="27"/>
          <w:szCs w:val="27"/>
          <w:lang w:eastAsia="it-IT"/>
        </w:rPr>
        <w:t xml:space="preserve">istanza tempestiva e che ne ha seguito in buona fede le indicazioni, o che ha proposto tempestivamente la domanda di accesso a una delle procedure regolatrici della crisi o dell’insolvenza, sono riconosciuti taluni benefici, cumulabili tra loro, tra cui </w:t>
      </w:r>
      <w:r w:rsidRPr="00DF166A">
        <w:rPr>
          <w:rFonts w:ascii="&amp;quot" w:eastAsia="Times New Roman" w:hAnsi="&amp;quot" w:cs="Times New Roman"/>
          <w:b/>
          <w:bCs/>
          <w:color w:val="000000"/>
          <w:sz w:val="27"/>
          <w:szCs w:val="27"/>
          <w:lang w:eastAsia="it-IT"/>
        </w:rPr>
        <w:t xml:space="preserve">decurtamento degli interessi </w:t>
      </w:r>
      <w:r w:rsidRPr="00DF166A">
        <w:rPr>
          <w:rFonts w:ascii="&amp;quot" w:eastAsia="Times New Roman" w:hAnsi="&amp;quot" w:cs="Times New Roman"/>
          <w:color w:val="000000"/>
          <w:sz w:val="27"/>
          <w:szCs w:val="27"/>
          <w:lang w:eastAsia="it-IT"/>
        </w:rPr>
        <w:t xml:space="preserve">sui debiti tributari, riduzione delle sanzioni tributarie e proroga del </w:t>
      </w:r>
      <w:r w:rsidRPr="00DF166A">
        <w:rPr>
          <w:rFonts w:ascii="&amp;quot" w:eastAsia="Times New Roman" w:hAnsi="&amp;quot" w:cs="Times New Roman"/>
          <w:color w:val="000000"/>
          <w:sz w:val="27"/>
          <w:szCs w:val="27"/>
          <w:lang w:eastAsia="it-IT"/>
        </w:rPr>
        <w:lastRenderedPageBreak/>
        <w:t xml:space="preserve">termine fissato per il deposito della proposta di concordato preventivo o dell'accordo di ristrutturazione dei debiti. </w:t>
      </w:r>
    </w:p>
    <w:p w14:paraId="137CB9E9" w14:textId="77777777" w:rsidR="002E494E" w:rsidRDefault="002E494E">
      <w:bookmarkStart w:id="0" w:name="_GoBack"/>
      <w:bookmarkEnd w:id="0"/>
    </w:p>
    <w:sectPr w:rsidR="002E4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74E8"/>
    <w:rsid w:val="002E494E"/>
    <w:rsid w:val="00DF166A"/>
    <w:rsid w:val="00F47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7827"/>
  <w15:chartTrackingRefBased/>
  <w15:docId w15:val="{9247D7A0-6E08-434F-B0F2-520C26E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Mazza</dc:creator>
  <cp:keywords/>
  <dc:description/>
  <cp:lastModifiedBy>Enrico Mazza</cp:lastModifiedBy>
  <cp:revision>2</cp:revision>
  <dcterms:created xsi:type="dcterms:W3CDTF">2019-03-05T12:42:00Z</dcterms:created>
  <dcterms:modified xsi:type="dcterms:W3CDTF">2019-03-05T12:42:00Z</dcterms:modified>
</cp:coreProperties>
</file>