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32092" w14:textId="77777777" w:rsidR="005A5F3E" w:rsidRPr="005A5F3E" w:rsidRDefault="005A5F3E" w:rsidP="005A5F3E">
      <w:pPr>
        <w:spacing w:after="100" w:afterAutospacing="1" w:line="240" w:lineRule="auto"/>
        <w:outlineLvl w:val="0"/>
        <w:rPr>
          <w:rFonts w:ascii="inherit" w:eastAsia="Times New Roman" w:hAnsi="inherit" w:cs="Times New Roman"/>
          <w:color w:val="4F4C4C"/>
          <w:kern w:val="36"/>
          <w:sz w:val="43"/>
          <w:szCs w:val="43"/>
          <w:lang w:eastAsia="it-IT"/>
        </w:rPr>
      </w:pPr>
      <w:r w:rsidRPr="005A5F3E">
        <w:rPr>
          <w:rFonts w:ascii="inherit" w:eastAsia="Times New Roman" w:hAnsi="inherit" w:cs="Times New Roman"/>
          <w:color w:val="4F4C4C"/>
          <w:kern w:val="36"/>
          <w:sz w:val="43"/>
          <w:szCs w:val="43"/>
          <w:lang w:eastAsia="it-IT"/>
        </w:rPr>
        <w:t>Contributi alle PMI per consulenze di “Manager d'Innovazione”</w:t>
      </w:r>
    </w:p>
    <w:p w14:paraId="4B491E59" w14:textId="77777777" w:rsidR="005A5F3E" w:rsidRDefault="005A5F3E" w:rsidP="005A5F3E">
      <w:pPr>
        <w:spacing w:after="100" w:afterAutospacing="1" w:line="240" w:lineRule="auto"/>
        <w:jc w:val="both"/>
        <w:rPr>
          <w:rFonts w:ascii="&amp;quot" w:eastAsia="Times New Roman" w:hAnsi="&amp;quot" w:cs="Times New Roman"/>
          <w:color w:val="000000"/>
          <w:sz w:val="27"/>
          <w:szCs w:val="27"/>
          <w:lang w:eastAsia="it-IT"/>
        </w:rPr>
      </w:pPr>
      <w:r w:rsidRPr="005A5F3E">
        <w:rPr>
          <w:rFonts w:ascii="&amp;quot" w:eastAsia="Times New Roman" w:hAnsi="&amp;quot" w:cs="Times New Roman"/>
          <w:color w:val="000000"/>
          <w:sz w:val="27"/>
          <w:szCs w:val="27"/>
          <w:lang w:eastAsia="it-IT"/>
        </w:rPr>
        <w:t>Con la legge di Bilancio 2019 (L. 30.12.2018, n. 145, pubblicata sulla Gazzetta Ufficiale 31.12.2018, n. 302) è stato istituito un nuovo incentivo per le piccole e medie imprese per sostenerle nel processo di</w:t>
      </w:r>
      <w:r w:rsidRPr="005A5F3E">
        <w:rPr>
          <w:rFonts w:ascii="&amp;quot" w:eastAsia="Times New Roman" w:hAnsi="&amp;quot" w:cs="Times New Roman"/>
          <w:b/>
          <w:bCs/>
          <w:color w:val="000000"/>
          <w:sz w:val="27"/>
          <w:szCs w:val="27"/>
          <w:lang w:eastAsia="it-IT"/>
        </w:rPr>
        <w:t xml:space="preserve"> trasformazione ed evoluzione organizzativa</w:t>
      </w:r>
      <w:r w:rsidRPr="005A5F3E">
        <w:rPr>
          <w:rFonts w:ascii="&amp;quot" w:eastAsia="Times New Roman" w:hAnsi="&amp;quot" w:cs="Times New Roman"/>
          <w:color w:val="000000"/>
          <w:sz w:val="27"/>
          <w:szCs w:val="27"/>
          <w:lang w:eastAsia="it-IT"/>
        </w:rPr>
        <w:t xml:space="preserve">, </w:t>
      </w:r>
      <w:r w:rsidRPr="005A5F3E">
        <w:rPr>
          <w:rFonts w:ascii="&amp;quot" w:eastAsia="Times New Roman" w:hAnsi="&amp;quot" w:cs="Times New Roman"/>
          <w:b/>
          <w:bCs/>
          <w:color w:val="000000"/>
          <w:sz w:val="27"/>
          <w:szCs w:val="27"/>
          <w:lang w:eastAsia="it-IT"/>
        </w:rPr>
        <w:t>competitiva e digitale</w:t>
      </w:r>
      <w:r w:rsidRPr="005A5F3E">
        <w:rPr>
          <w:rFonts w:ascii="&amp;quot" w:eastAsia="Times New Roman" w:hAnsi="&amp;quot" w:cs="Times New Roman"/>
          <w:color w:val="000000"/>
          <w:sz w:val="27"/>
          <w:szCs w:val="27"/>
          <w:lang w:eastAsia="it-IT"/>
        </w:rPr>
        <w:t xml:space="preserve"> anche in ottica Industria 4.0.</w:t>
      </w:r>
      <w:r w:rsidRPr="005A5F3E">
        <w:rPr>
          <w:rFonts w:ascii="&amp;quot" w:eastAsia="Times New Roman" w:hAnsi="&amp;quot" w:cs="Times New Roman"/>
          <w:color w:val="000000"/>
          <w:sz w:val="27"/>
          <w:szCs w:val="27"/>
          <w:lang w:eastAsia="it-IT"/>
        </w:rPr>
        <w:br/>
        <w:t xml:space="preserve">I beneficiari potranno essere quindi le </w:t>
      </w:r>
      <w:r w:rsidRPr="005A5F3E">
        <w:rPr>
          <w:rFonts w:ascii="&amp;quot" w:eastAsia="Times New Roman" w:hAnsi="&amp;quot" w:cs="Times New Roman"/>
          <w:b/>
          <w:bCs/>
          <w:color w:val="000000"/>
          <w:sz w:val="27"/>
          <w:szCs w:val="27"/>
          <w:lang w:eastAsia="it-IT"/>
        </w:rPr>
        <w:t>micro, piccole e medie Imprese</w:t>
      </w:r>
      <w:r w:rsidRPr="005A5F3E">
        <w:rPr>
          <w:rFonts w:ascii="&amp;quot" w:eastAsia="Times New Roman" w:hAnsi="&amp;quot" w:cs="Times New Roman"/>
          <w:color w:val="000000"/>
          <w:sz w:val="27"/>
          <w:szCs w:val="27"/>
          <w:lang w:eastAsia="it-IT"/>
        </w:rPr>
        <w:t>, come disciplinate e definite dalla raccomandazione della Commissione 2003/361/CE.</w:t>
      </w:r>
    </w:p>
    <w:p w14:paraId="523C7106" w14:textId="73C8D449" w:rsidR="005A5F3E" w:rsidRDefault="005A5F3E" w:rsidP="005A5F3E">
      <w:pPr>
        <w:spacing w:after="100" w:afterAutospacing="1" w:line="240" w:lineRule="auto"/>
        <w:jc w:val="both"/>
        <w:rPr>
          <w:rFonts w:ascii="&amp;quot" w:eastAsia="Times New Roman" w:hAnsi="&amp;quot" w:cs="Times New Roman"/>
          <w:color w:val="000000"/>
          <w:sz w:val="27"/>
          <w:szCs w:val="27"/>
          <w:lang w:eastAsia="it-IT"/>
        </w:rPr>
      </w:pPr>
      <w:r w:rsidRPr="005A5F3E">
        <w:rPr>
          <w:rFonts w:ascii="&amp;quot" w:eastAsia="Times New Roman" w:hAnsi="&amp;quot" w:cs="Times New Roman"/>
          <w:color w:val="000000"/>
          <w:sz w:val="27"/>
          <w:szCs w:val="27"/>
          <w:lang w:eastAsia="it-IT"/>
        </w:rPr>
        <w:t>Sono pertanto escluse le grandi imprese.</w:t>
      </w:r>
    </w:p>
    <w:p w14:paraId="7051684F" w14:textId="77777777" w:rsidR="005A5F3E" w:rsidRDefault="005A5F3E" w:rsidP="005A5F3E">
      <w:pPr>
        <w:spacing w:after="100" w:afterAutospacing="1" w:line="240" w:lineRule="auto"/>
        <w:jc w:val="both"/>
        <w:rPr>
          <w:rFonts w:ascii="&amp;quot" w:eastAsia="Times New Roman" w:hAnsi="&amp;quot" w:cs="Times New Roman"/>
          <w:color w:val="000000"/>
          <w:sz w:val="27"/>
          <w:szCs w:val="27"/>
          <w:lang w:eastAsia="it-IT"/>
        </w:rPr>
      </w:pPr>
      <w:r w:rsidRPr="005A5F3E">
        <w:rPr>
          <w:rFonts w:ascii="&amp;quot" w:eastAsia="Times New Roman" w:hAnsi="&amp;quot" w:cs="Times New Roman"/>
          <w:color w:val="000000"/>
          <w:sz w:val="27"/>
          <w:szCs w:val="27"/>
          <w:lang w:eastAsia="it-IT"/>
        </w:rPr>
        <w:t xml:space="preserve">Il contributo vuole favorire l'acquisto di </w:t>
      </w:r>
      <w:r w:rsidRPr="005A5F3E">
        <w:rPr>
          <w:rFonts w:ascii="&amp;quot" w:eastAsia="Times New Roman" w:hAnsi="&amp;quot" w:cs="Times New Roman"/>
          <w:b/>
          <w:bCs/>
          <w:color w:val="000000"/>
          <w:sz w:val="27"/>
          <w:szCs w:val="27"/>
          <w:lang w:eastAsia="it-IT"/>
        </w:rPr>
        <w:t>prestazioni consulenziali di natura specialistica</w:t>
      </w:r>
      <w:r w:rsidRPr="005A5F3E">
        <w:rPr>
          <w:rFonts w:ascii="&amp;quot" w:eastAsia="Times New Roman" w:hAnsi="&amp;quot" w:cs="Times New Roman"/>
          <w:color w:val="000000"/>
          <w:sz w:val="27"/>
          <w:szCs w:val="27"/>
          <w:lang w:eastAsia="it-IT"/>
        </w:rPr>
        <w:t xml:space="preserve"> finalizzate a sostenere i processi di trasformazione tecnologica e digitale attraverso le tecnologie abilitanti previste dal Piano nazionale impresa 4.0 e di ammodernamento degli assetti gestionali e organizzativi dell'impresa, compreso l'accesso ai mercati finanziari e dei capitali.</w:t>
      </w:r>
    </w:p>
    <w:p w14:paraId="4D6BD41B" w14:textId="77777777" w:rsidR="005A5F3E" w:rsidRDefault="005A5F3E" w:rsidP="005A5F3E">
      <w:pPr>
        <w:spacing w:after="100" w:afterAutospacing="1" w:line="240" w:lineRule="auto"/>
        <w:jc w:val="both"/>
        <w:rPr>
          <w:rFonts w:ascii="&amp;quot" w:eastAsia="Times New Roman" w:hAnsi="&amp;quot" w:cs="Times New Roman"/>
          <w:color w:val="000000"/>
          <w:sz w:val="27"/>
          <w:szCs w:val="27"/>
          <w:lang w:eastAsia="it-IT"/>
        </w:rPr>
      </w:pPr>
      <w:r w:rsidRPr="005A5F3E">
        <w:rPr>
          <w:rFonts w:ascii="&amp;quot" w:eastAsia="Times New Roman" w:hAnsi="&amp;quot" w:cs="Times New Roman"/>
          <w:color w:val="000000"/>
          <w:sz w:val="27"/>
          <w:szCs w:val="27"/>
          <w:lang w:eastAsia="it-IT"/>
        </w:rPr>
        <w:t>Se appare chiaro il riferimento alle tecnologie abilitanti del PNI 4.0, già elencate nella normativa istitutiva dell'</w:t>
      </w:r>
      <w:proofErr w:type="spellStart"/>
      <w:r w:rsidRPr="005A5F3E">
        <w:rPr>
          <w:rFonts w:ascii="&amp;quot" w:eastAsia="Times New Roman" w:hAnsi="&amp;quot" w:cs="Times New Roman"/>
          <w:color w:val="000000"/>
          <w:sz w:val="27"/>
          <w:szCs w:val="27"/>
          <w:lang w:eastAsia="it-IT"/>
        </w:rPr>
        <w:t>iperammortamento</w:t>
      </w:r>
      <w:proofErr w:type="spellEnd"/>
      <w:r w:rsidRPr="005A5F3E">
        <w:rPr>
          <w:rFonts w:ascii="&amp;quot" w:eastAsia="Times New Roman" w:hAnsi="&amp;quot" w:cs="Times New Roman"/>
          <w:color w:val="000000"/>
          <w:sz w:val="27"/>
          <w:szCs w:val="27"/>
          <w:lang w:eastAsia="it-IT"/>
        </w:rPr>
        <w:t>, appare invece poco definito e molto ampio, in relazione alla possibile consulenza (più organizzativa e forse meno tecnologica), il riferimento all'ammodernamento degli assetti gestionali e organizzativi dell'impresa, compreso l'accesso ai mercati finanziari e dei capitali.</w:t>
      </w:r>
      <w:r w:rsidRPr="005A5F3E">
        <w:rPr>
          <w:rFonts w:ascii="&amp;quot" w:eastAsia="Times New Roman" w:hAnsi="&amp;quot" w:cs="Times New Roman"/>
          <w:color w:val="000000"/>
          <w:sz w:val="27"/>
          <w:szCs w:val="27"/>
          <w:lang w:eastAsia="it-IT"/>
        </w:rPr>
        <w:br/>
        <w:t>Il beneficio cambia di entità in funzione della dimensione aziendale: per le</w:t>
      </w:r>
      <w:r w:rsidRPr="005A5F3E">
        <w:rPr>
          <w:rFonts w:ascii="&amp;quot" w:eastAsia="Times New Roman" w:hAnsi="&amp;quot" w:cs="Times New Roman"/>
          <w:b/>
          <w:bCs/>
          <w:color w:val="000000"/>
          <w:sz w:val="27"/>
          <w:szCs w:val="27"/>
          <w:lang w:eastAsia="it-IT"/>
        </w:rPr>
        <w:t xml:space="preserve"> micro e piccole imprese</w:t>
      </w:r>
      <w:r w:rsidRPr="005A5F3E">
        <w:rPr>
          <w:rFonts w:ascii="&amp;quot" w:eastAsia="Times New Roman" w:hAnsi="&amp;quot" w:cs="Times New Roman"/>
          <w:color w:val="000000"/>
          <w:sz w:val="27"/>
          <w:szCs w:val="27"/>
          <w:lang w:eastAsia="it-IT"/>
        </w:rPr>
        <w:t xml:space="preserve"> il contributo è riconosciuto in misura pari al</w:t>
      </w:r>
      <w:r w:rsidRPr="005A5F3E">
        <w:rPr>
          <w:rFonts w:ascii="&amp;quot" w:eastAsia="Times New Roman" w:hAnsi="&amp;quot" w:cs="Times New Roman"/>
          <w:b/>
          <w:bCs/>
          <w:color w:val="000000"/>
          <w:sz w:val="27"/>
          <w:szCs w:val="27"/>
          <w:lang w:eastAsia="it-IT"/>
        </w:rPr>
        <w:t xml:space="preserve"> 50%</w:t>
      </w:r>
      <w:r w:rsidRPr="005A5F3E">
        <w:rPr>
          <w:rFonts w:ascii="&amp;quot" w:eastAsia="Times New Roman" w:hAnsi="&amp;quot" w:cs="Times New Roman"/>
          <w:color w:val="000000"/>
          <w:sz w:val="27"/>
          <w:szCs w:val="27"/>
          <w:lang w:eastAsia="it-IT"/>
        </w:rPr>
        <w:t xml:space="preserve"> dei costi sostenuti ed entro il limite massimo di </w:t>
      </w:r>
      <w:r w:rsidRPr="005A5F3E">
        <w:rPr>
          <w:rFonts w:ascii="&amp;quot" w:eastAsia="Times New Roman" w:hAnsi="&amp;quot" w:cs="Times New Roman"/>
          <w:b/>
          <w:bCs/>
          <w:color w:val="000000"/>
          <w:sz w:val="27"/>
          <w:szCs w:val="27"/>
          <w:lang w:eastAsia="it-IT"/>
        </w:rPr>
        <w:t>40.000 euro</w:t>
      </w:r>
      <w:r w:rsidRPr="005A5F3E">
        <w:rPr>
          <w:rFonts w:ascii="&amp;quot" w:eastAsia="Times New Roman" w:hAnsi="&amp;quot" w:cs="Times New Roman"/>
          <w:color w:val="000000"/>
          <w:sz w:val="27"/>
          <w:szCs w:val="27"/>
          <w:lang w:eastAsia="it-IT"/>
        </w:rPr>
        <w:t xml:space="preserve">, per le </w:t>
      </w:r>
      <w:r w:rsidRPr="005A5F3E">
        <w:rPr>
          <w:rFonts w:ascii="&amp;quot" w:eastAsia="Times New Roman" w:hAnsi="&amp;quot" w:cs="Times New Roman"/>
          <w:b/>
          <w:bCs/>
          <w:color w:val="000000"/>
          <w:sz w:val="27"/>
          <w:szCs w:val="27"/>
          <w:lang w:eastAsia="it-IT"/>
        </w:rPr>
        <w:t>medie imprese</w:t>
      </w:r>
      <w:r w:rsidRPr="005A5F3E">
        <w:rPr>
          <w:rFonts w:ascii="&amp;quot" w:eastAsia="Times New Roman" w:hAnsi="&amp;quot" w:cs="Times New Roman"/>
          <w:color w:val="000000"/>
          <w:sz w:val="27"/>
          <w:szCs w:val="27"/>
          <w:lang w:eastAsia="it-IT"/>
        </w:rPr>
        <w:t xml:space="preserve"> il contributo è pari al</w:t>
      </w:r>
      <w:r w:rsidRPr="005A5F3E">
        <w:rPr>
          <w:rFonts w:ascii="&amp;quot" w:eastAsia="Times New Roman" w:hAnsi="&amp;quot" w:cs="Times New Roman"/>
          <w:b/>
          <w:bCs/>
          <w:color w:val="000000"/>
          <w:sz w:val="27"/>
          <w:szCs w:val="27"/>
          <w:lang w:eastAsia="it-IT"/>
        </w:rPr>
        <w:t xml:space="preserve"> 30% </w:t>
      </w:r>
      <w:r w:rsidRPr="005A5F3E">
        <w:rPr>
          <w:rFonts w:ascii="&amp;quot" w:eastAsia="Times New Roman" w:hAnsi="&amp;quot" w:cs="Times New Roman"/>
          <w:color w:val="000000"/>
          <w:sz w:val="27"/>
          <w:szCs w:val="27"/>
          <w:lang w:eastAsia="it-IT"/>
        </w:rPr>
        <w:t>dei costi sostenuti ed entro il limite massimo di</w:t>
      </w:r>
      <w:r w:rsidRPr="005A5F3E">
        <w:rPr>
          <w:rFonts w:ascii="&amp;quot" w:eastAsia="Times New Roman" w:hAnsi="&amp;quot" w:cs="Times New Roman"/>
          <w:b/>
          <w:bCs/>
          <w:color w:val="000000"/>
          <w:sz w:val="27"/>
          <w:szCs w:val="27"/>
          <w:lang w:eastAsia="it-IT"/>
        </w:rPr>
        <w:t xml:space="preserve"> 25.000 euro</w:t>
      </w:r>
      <w:r w:rsidRPr="005A5F3E">
        <w:rPr>
          <w:rFonts w:ascii="&amp;quot" w:eastAsia="Times New Roman" w:hAnsi="&amp;quot" w:cs="Times New Roman"/>
          <w:color w:val="000000"/>
          <w:sz w:val="27"/>
          <w:szCs w:val="27"/>
          <w:lang w:eastAsia="it-IT"/>
        </w:rPr>
        <w:t>.</w:t>
      </w:r>
      <w:r w:rsidRPr="005A5F3E">
        <w:rPr>
          <w:rFonts w:ascii="&amp;quot" w:eastAsia="Times New Roman" w:hAnsi="&amp;quot" w:cs="Times New Roman"/>
          <w:color w:val="000000"/>
          <w:sz w:val="27"/>
          <w:szCs w:val="27"/>
          <w:lang w:eastAsia="it-IT"/>
        </w:rPr>
        <w:br/>
        <w:t xml:space="preserve">Premiate le imprese (sempre PMI) in caso di adesione a un </w:t>
      </w:r>
      <w:r w:rsidRPr="005A5F3E">
        <w:rPr>
          <w:rFonts w:ascii="&amp;quot" w:eastAsia="Times New Roman" w:hAnsi="&amp;quot" w:cs="Times New Roman"/>
          <w:b/>
          <w:bCs/>
          <w:color w:val="000000"/>
          <w:sz w:val="27"/>
          <w:szCs w:val="27"/>
          <w:lang w:eastAsia="it-IT"/>
        </w:rPr>
        <w:t>contratto di rete</w:t>
      </w:r>
      <w:r w:rsidRPr="005A5F3E">
        <w:rPr>
          <w:rFonts w:ascii="&amp;quot" w:eastAsia="Times New Roman" w:hAnsi="&amp;quot" w:cs="Times New Roman"/>
          <w:color w:val="000000"/>
          <w:sz w:val="27"/>
          <w:szCs w:val="27"/>
          <w:lang w:eastAsia="it-IT"/>
        </w:rPr>
        <w:t xml:space="preserve"> avente nel programma comune lo sviluppo di processi innovativi; il contributo è riconosciuto in misura pari al 50% dei costi sostenuti ed entro il limite massimo complessivo di 80.000 euro (limite massimo per tutte le imprese partecipanti alla rete che attueranno il progetto).</w:t>
      </w:r>
    </w:p>
    <w:p w14:paraId="54337022" w14:textId="0DD74E41" w:rsidR="00714A2C" w:rsidRDefault="005A5F3E" w:rsidP="005A5F3E">
      <w:pPr>
        <w:spacing w:after="100" w:afterAutospacing="1" w:line="240" w:lineRule="auto"/>
        <w:jc w:val="both"/>
      </w:pPr>
      <w:r w:rsidRPr="005A5F3E">
        <w:rPr>
          <w:rFonts w:ascii="&amp;quot" w:eastAsia="Times New Roman" w:hAnsi="&amp;quot" w:cs="Times New Roman"/>
          <w:color w:val="000000"/>
          <w:sz w:val="27"/>
          <w:szCs w:val="27"/>
          <w:lang w:eastAsia="it-IT"/>
        </w:rPr>
        <w:t xml:space="preserve">I contributi sono subordinati alla </w:t>
      </w:r>
      <w:r w:rsidRPr="005A5F3E">
        <w:rPr>
          <w:rFonts w:ascii="&amp;quot" w:eastAsia="Times New Roman" w:hAnsi="&amp;quot" w:cs="Times New Roman"/>
          <w:b/>
          <w:bCs/>
          <w:color w:val="000000"/>
          <w:sz w:val="27"/>
          <w:szCs w:val="27"/>
          <w:lang w:eastAsia="it-IT"/>
        </w:rPr>
        <w:t>sottoscrizione di un contratto di servizio di consulenza</w:t>
      </w:r>
      <w:r w:rsidRPr="005A5F3E">
        <w:rPr>
          <w:rFonts w:ascii="&amp;quot" w:eastAsia="Times New Roman" w:hAnsi="&amp;quot" w:cs="Times New Roman"/>
          <w:color w:val="000000"/>
          <w:sz w:val="27"/>
          <w:szCs w:val="27"/>
          <w:lang w:eastAsia="it-IT"/>
        </w:rPr>
        <w:t xml:space="preserve"> tra le imprese o le reti beneficiarie e le società di consulenza o i manager qualificati iscritti in un elenco istituito con apposito decreto del Ministro dello Sviluppo Economico, da adottare entro 90 giorni dalla data di entrata in vigore della Legge, quindi indicativamente entro il 31.03.2019. Il primo passaggio per l'avvio del bando sarà quindi la selezione delle società/professionisti con i requisiti di esperienza e professionalità che saranno definiti dal Ministero; solo successivamente alla scelta del “consulente qualificato” le PMI potranno richiedere il voucher (contributo a fondo perduto alla spesa).</w:t>
      </w:r>
      <w:bookmarkStart w:id="0" w:name="_GoBack"/>
      <w:bookmarkEnd w:id="0"/>
    </w:p>
    <w:sectPr w:rsidR="00714A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43C2"/>
    <w:rsid w:val="005A5F3E"/>
    <w:rsid w:val="006143C2"/>
    <w:rsid w:val="00714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A89B"/>
  <w15:chartTrackingRefBased/>
  <w15:docId w15:val="{B5B3EA45-A1D8-4023-8556-25CA8D22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Mazza</dc:creator>
  <cp:keywords/>
  <dc:description/>
  <cp:lastModifiedBy>Enrico Mazza</cp:lastModifiedBy>
  <cp:revision>2</cp:revision>
  <dcterms:created xsi:type="dcterms:W3CDTF">2019-02-13T07:22:00Z</dcterms:created>
  <dcterms:modified xsi:type="dcterms:W3CDTF">2019-02-13T07:24:00Z</dcterms:modified>
</cp:coreProperties>
</file>