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A52DD" w14:textId="77777777" w:rsidR="003C6E16" w:rsidRPr="003C6E16" w:rsidRDefault="003C6E16" w:rsidP="003C6E16">
      <w:pPr>
        <w:spacing w:after="100" w:afterAutospacing="1" w:line="240" w:lineRule="auto"/>
        <w:outlineLvl w:val="0"/>
        <w:rPr>
          <w:rFonts w:ascii="inherit" w:eastAsia="Times New Roman" w:hAnsi="inherit" w:cs="Times New Roman"/>
          <w:color w:val="4F4C4C"/>
          <w:kern w:val="36"/>
          <w:sz w:val="43"/>
          <w:szCs w:val="43"/>
          <w:lang w:eastAsia="it-IT"/>
        </w:rPr>
      </w:pPr>
      <w:r w:rsidRPr="003C6E16">
        <w:rPr>
          <w:rFonts w:ascii="inherit" w:eastAsia="Times New Roman" w:hAnsi="inherit" w:cs="Times New Roman"/>
          <w:color w:val="4F4C4C"/>
          <w:kern w:val="36"/>
          <w:sz w:val="43"/>
          <w:szCs w:val="43"/>
          <w:lang w:eastAsia="it-IT"/>
        </w:rPr>
        <w:t>Procedura di sovraindebitamento in mediazione</w:t>
      </w:r>
    </w:p>
    <w:p w14:paraId="03F14503" w14:textId="77777777" w:rsidR="003C6E16" w:rsidRPr="003C6E16" w:rsidRDefault="003C6E16" w:rsidP="003C6E16">
      <w:pPr>
        <w:spacing w:after="0" w:line="240" w:lineRule="auto"/>
        <w:jc w:val="both"/>
        <w:rPr>
          <w:rFonts w:ascii="&amp;quot" w:eastAsia="Times New Roman" w:hAnsi="&amp;quot" w:cs="Times New Roman"/>
          <w:color w:val="000000"/>
          <w:sz w:val="27"/>
          <w:szCs w:val="27"/>
          <w:lang w:eastAsia="it-IT"/>
        </w:rPr>
      </w:pPr>
    </w:p>
    <w:p w14:paraId="15FE20B7" w14:textId="77777777" w:rsidR="003C6E16" w:rsidRDefault="003C6E16" w:rsidP="003C6E16">
      <w:pPr>
        <w:spacing w:after="100" w:afterAutospacing="1" w:line="240" w:lineRule="auto"/>
        <w:jc w:val="both"/>
        <w:rPr>
          <w:rFonts w:ascii="&amp;quot" w:eastAsia="Times New Roman" w:hAnsi="&amp;quot" w:cs="Times New Roman"/>
          <w:color w:val="000000"/>
          <w:sz w:val="27"/>
          <w:szCs w:val="27"/>
          <w:lang w:eastAsia="it-IT"/>
        </w:rPr>
      </w:pPr>
      <w:r w:rsidRPr="003C6E16">
        <w:rPr>
          <w:rFonts w:ascii="&amp;quot" w:eastAsia="Times New Roman" w:hAnsi="&amp;quot" w:cs="Times New Roman"/>
          <w:color w:val="000000"/>
          <w:sz w:val="27"/>
          <w:szCs w:val="27"/>
          <w:lang w:eastAsia="it-IT"/>
        </w:rPr>
        <w:t xml:space="preserve">Il Tribunale di Nola, con decreto 23.10.2018, ha omologato un piano del consumatore realizzato all’interno di una procedura di mediazione, offrendo un interessante spunto alla composizione del conflitto fuori dalle aule giudiziarie con un provvedimento avente efficacia </w:t>
      </w:r>
      <w:r w:rsidRPr="003C6E16">
        <w:rPr>
          <w:rFonts w:ascii="&amp;quot" w:eastAsia="Times New Roman" w:hAnsi="&amp;quot" w:cs="Times New Roman"/>
          <w:i/>
          <w:iCs/>
          <w:color w:val="000000"/>
          <w:sz w:val="27"/>
          <w:szCs w:val="27"/>
          <w:lang w:eastAsia="it-IT"/>
        </w:rPr>
        <w:t xml:space="preserve">erga </w:t>
      </w:r>
      <w:proofErr w:type="spellStart"/>
      <w:r w:rsidRPr="003C6E16">
        <w:rPr>
          <w:rFonts w:ascii="&amp;quot" w:eastAsia="Times New Roman" w:hAnsi="&amp;quot" w:cs="Times New Roman"/>
          <w:i/>
          <w:iCs/>
          <w:color w:val="000000"/>
          <w:sz w:val="27"/>
          <w:szCs w:val="27"/>
          <w:lang w:eastAsia="it-IT"/>
        </w:rPr>
        <w:t>omnes</w:t>
      </w:r>
      <w:proofErr w:type="spellEnd"/>
      <w:r w:rsidRPr="003C6E16">
        <w:rPr>
          <w:rFonts w:ascii="&amp;quot" w:eastAsia="Times New Roman" w:hAnsi="&amp;quot" w:cs="Times New Roman"/>
          <w:color w:val="000000"/>
          <w:sz w:val="27"/>
          <w:szCs w:val="27"/>
          <w:lang w:eastAsia="it-IT"/>
        </w:rPr>
        <w:t>.</w:t>
      </w:r>
    </w:p>
    <w:p w14:paraId="2F5FFEC4" w14:textId="77777777" w:rsidR="003C6E16" w:rsidRDefault="003C6E16" w:rsidP="003C6E16">
      <w:pPr>
        <w:spacing w:after="100" w:afterAutospacing="1" w:line="240" w:lineRule="auto"/>
        <w:jc w:val="both"/>
        <w:rPr>
          <w:rFonts w:ascii="&amp;quot" w:eastAsia="Times New Roman" w:hAnsi="&amp;quot" w:cs="Times New Roman"/>
          <w:color w:val="000000"/>
          <w:sz w:val="27"/>
          <w:szCs w:val="27"/>
          <w:lang w:eastAsia="it-IT"/>
        </w:rPr>
      </w:pPr>
      <w:r w:rsidRPr="003C6E16">
        <w:rPr>
          <w:rFonts w:ascii="&amp;quot" w:eastAsia="Times New Roman" w:hAnsi="&amp;quot" w:cs="Times New Roman"/>
          <w:color w:val="000000"/>
          <w:sz w:val="27"/>
          <w:szCs w:val="27"/>
          <w:lang w:eastAsia="it-IT"/>
        </w:rPr>
        <w:t xml:space="preserve">La vicenda trae origine da un </w:t>
      </w:r>
      <w:r w:rsidRPr="003C6E16">
        <w:rPr>
          <w:rFonts w:ascii="&amp;quot" w:eastAsia="Times New Roman" w:hAnsi="&amp;quot" w:cs="Times New Roman"/>
          <w:b/>
          <w:bCs/>
          <w:color w:val="000000"/>
          <w:sz w:val="27"/>
          <w:szCs w:val="27"/>
          <w:lang w:eastAsia="it-IT"/>
        </w:rPr>
        <w:t xml:space="preserve">decreto ingiuntivo </w:t>
      </w:r>
      <w:r w:rsidRPr="003C6E16">
        <w:rPr>
          <w:rFonts w:ascii="&amp;quot" w:eastAsia="Times New Roman" w:hAnsi="&amp;quot" w:cs="Times New Roman"/>
          <w:color w:val="000000"/>
          <w:sz w:val="27"/>
          <w:szCs w:val="27"/>
          <w:lang w:eastAsia="it-IT"/>
        </w:rPr>
        <w:t xml:space="preserve">richiesto per canoni di locazione non saldati. In sede di opposizione al decreto, il giudice della causa di merito considerò improcedibile la domanda; essendo necessario il preventivo esperimento della </w:t>
      </w:r>
      <w:r w:rsidRPr="003C6E16">
        <w:rPr>
          <w:rFonts w:ascii="&amp;quot" w:eastAsia="Times New Roman" w:hAnsi="&amp;quot" w:cs="Times New Roman"/>
          <w:b/>
          <w:bCs/>
          <w:color w:val="000000"/>
          <w:sz w:val="27"/>
          <w:szCs w:val="27"/>
          <w:lang w:eastAsia="it-IT"/>
        </w:rPr>
        <w:t>mediazione obbligatoria</w:t>
      </w:r>
      <w:r w:rsidRPr="003C6E16">
        <w:rPr>
          <w:rFonts w:ascii="&amp;quot" w:eastAsia="Times New Roman" w:hAnsi="&amp;quot" w:cs="Times New Roman"/>
          <w:color w:val="000000"/>
          <w:sz w:val="27"/>
          <w:szCs w:val="27"/>
          <w:lang w:eastAsia="it-IT"/>
        </w:rPr>
        <w:t xml:space="preserve"> (ai sensi dell’art. 5 </w:t>
      </w:r>
      <w:proofErr w:type="spellStart"/>
      <w:r w:rsidRPr="003C6E16">
        <w:rPr>
          <w:rFonts w:ascii="&amp;quot" w:eastAsia="Times New Roman" w:hAnsi="&amp;quot" w:cs="Times New Roman"/>
          <w:color w:val="000000"/>
          <w:sz w:val="27"/>
          <w:szCs w:val="27"/>
          <w:lang w:eastAsia="it-IT"/>
        </w:rPr>
        <w:t>D.Lgs.</w:t>
      </w:r>
      <w:proofErr w:type="spellEnd"/>
      <w:r w:rsidRPr="003C6E16">
        <w:rPr>
          <w:rFonts w:ascii="&amp;quot" w:eastAsia="Times New Roman" w:hAnsi="&amp;quot" w:cs="Times New Roman"/>
          <w:color w:val="000000"/>
          <w:sz w:val="27"/>
          <w:szCs w:val="27"/>
          <w:lang w:eastAsia="it-IT"/>
        </w:rPr>
        <w:t xml:space="preserve"> 28/2010, trattandosi di materia locatizia), aveva demandato alla mediazione la preventiva soluzione della controversia.</w:t>
      </w:r>
      <w:r w:rsidRPr="003C6E16">
        <w:rPr>
          <w:rFonts w:ascii="&amp;quot" w:eastAsia="Times New Roman" w:hAnsi="&amp;quot" w:cs="Times New Roman"/>
          <w:color w:val="000000"/>
          <w:sz w:val="27"/>
          <w:szCs w:val="27"/>
          <w:lang w:eastAsia="it-IT"/>
        </w:rPr>
        <w:br/>
        <w:t>La norma in parola prevede infatti che nei casi in cui sia obbligatorio il preventivo procedimento di mediazione (in materia di condominio, diritti reali, divisioni, successioni ereditarie, patti di famiglia, locazione, comodato, affitto d’azienda, risarcimento danni da responsabilità medica, diffamazione a mezzo stampa, contratti assicurativi, bancari e finanziari) il giudice alla prima udienza di trattazione, su istanza di parte o d’ufficio, rilevata l’improcedibilità della domanda, assegni alle parti un termine di 15 giorni per la presentazione della domanda di mediazione, rinviando la causa ad un’udienza successiva, onde valutare gli esiti della mediazione e procedere di conseguenza.</w:t>
      </w:r>
    </w:p>
    <w:p w14:paraId="59F13458" w14:textId="10BD6F9C" w:rsidR="003C6E16" w:rsidRPr="003C6E16" w:rsidRDefault="003C6E16" w:rsidP="003C6E16">
      <w:pPr>
        <w:spacing w:after="100" w:afterAutospacing="1" w:line="240" w:lineRule="auto"/>
        <w:jc w:val="both"/>
        <w:rPr>
          <w:rFonts w:ascii="&amp;quot" w:eastAsia="Times New Roman" w:hAnsi="&amp;quot" w:cs="Times New Roman"/>
          <w:color w:val="000000"/>
          <w:sz w:val="27"/>
          <w:szCs w:val="27"/>
          <w:lang w:eastAsia="it-IT"/>
        </w:rPr>
      </w:pPr>
      <w:r w:rsidRPr="003C6E16">
        <w:rPr>
          <w:rFonts w:ascii="&amp;quot" w:eastAsia="Times New Roman" w:hAnsi="&amp;quot" w:cs="Times New Roman"/>
          <w:color w:val="000000"/>
          <w:sz w:val="27"/>
          <w:szCs w:val="27"/>
          <w:lang w:eastAsia="it-IT"/>
        </w:rPr>
        <w:t xml:space="preserve">Nel procedimento di mediazione il mediatore, accertato che l’inadempimento del </w:t>
      </w:r>
      <w:r w:rsidRPr="003C6E16">
        <w:rPr>
          <w:rFonts w:ascii="&amp;quot" w:eastAsia="Times New Roman" w:hAnsi="&amp;quot" w:cs="Times New Roman"/>
          <w:b/>
          <w:bCs/>
          <w:color w:val="000000"/>
          <w:sz w:val="27"/>
          <w:szCs w:val="27"/>
          <w:lang w:eastAsia="it-IT"/>
        </w:rPr>
        <w:t xml:space="preserve">pagamento dei canoni </w:t>
      </w:r>
      <w:r w:rsidRPr="003C6E16">
        <w:rPr>
          <w:rFonts w:ascii="&amp;quot" w:eastAsia="Times New Roman" w:hAnsi="&amp;quot" w:cs="Times New Roman"/>
          <w:color w:val="000000"/>
          <w:sz w:val="27"/>
          <w:szCs w:val="27"/>
          <w:lang w:eastAsia="it-IT"/>
        </w:rPr>
        <w:t xml:space="preserve">era dovuto alla situazione economica della conduttrice, e non a contestazioni sul rapporto locatizio, valutata la sussistenza dei requisiti per l’accesso alla procedura di sovraindebitamento, ai sensi dell’art. 7 L. 3/2012, proponeva all’istante di accedere alla citata procedura, invitandola a depositare all’organismo di composizione della crisi la dichiarazione dei redditi degli ultimi tre anni, stato di famiglia, estratto di ruolo dell’Agenzia delle Entrate, dichiarazione dei debiti ulteriori in essere, certificato dei carichi pendenti e visura </w:t>
      </w:r>
      <w:proofErr w:type="spellStart"/>
      <w:r w:rsidRPr="003C6E16">
        <w:rPr>
          <w:rFonts w:ascii="&amp;quot" w:eastAsia="Times New Roman" w:hAnsi="&amp;quot" w:cs="Times New Roman"/>
          <w:color w:val="000000"/>
          <w:sz w:val="27"/>
          <w:szCs w:val="27"/>
          <w:lang w:eastAsia="it-IT"/>
        </w:rPr>
        <w:t>Crif</w:t>
      </w:r>
      <w:proofErr w:type="spellEnd"/>
      <w:r w:rsidRPr="003C6E16">
        <w:rPr>
          <w:rFonts w:ascii="&amp;quot" w:eastAsia="Times New Roman" w:hAnsi="&amp;quot" w:cs="Times New Roman"/>
          <w:color w:val="000000"/>
          <w:sz w:val="27"/>
          <w:szCs w:val="27"/>
          <w:lang w:eastAsia="it-IT"/>
        </w:rPr>
        <w:t xml:space="preserve"> (Centrale rischi finanziari), </w:t>
      </w:r>
      <w:proofErr w:type="spellStart"/>
      <w:r w:rsidRPr="003C6E16">
        <w:rPr>
          <w:rFonts w:ascii="&amp;quot" w:eastAsia="Times New Roman" w:hAnsi="&amp;quot" w:cs="Times New Roman"/>
          <w:color w:val="000000"/>
          <w:sz w:val="27"/>
          <w:szCs w:val="27"/>
          <w:lang w:eastAsia="it-IT"/>
        </w:rPr>
        <w:t>Ctc</w:t>
      </w:r>
      <w:proofErr w:type="spellEnd"/>
      <w:r w:rsidRPr="003C6E16">
        <w:rPr>
          <w:rFonts w:ascii="&amp;quot" w:eastAsia="Times New Roman" w:hAnsi="&amp;quot" w:cs="Times New Roman"/>
          <w:color w:val="000000"/>
          <w:sz w:val="27"/>
          <w:szCs w:val="27"/>
          <w:lang w:eastAsia="it-IT"/>
        </w:rPr>
        <w:t xml:space="preserve"> (Consorzio per la tutela del credito) e Centrale rischi.</w:t>
      </w:r>
      <w:r w:rsidRPr="003C6E16">
        <w:rPr>
          <w:rFonts w:ascii="&amp;quot" w:eastAsia="Times New Roman" w:hAnsi="&amp;quot" w:cs="Times New Roman"/>
          <w:color w:val="000000"/>
          <w:sz w:val="27"/>
          <w:szCs w:val="27"/>
          <w:lang w:eastAsia="it-IT"/>
        </w:rPr>
        <w:br/>
        <w:t xml:space="preserve">L’istante procedeva, quindi, ad accedere alla procedura di sovraindebitamento al fine di proporre a tutti i propri creditori un accordo di ristrutturazione dei debiti e di soddisfacimento dei loro crediti (c.d. </w:t>
      </w:r>
      <w:r w:rsidRPr="003C6E16">
        <w:rPr>
          <w:rFonts w:ascii="&amp;quot" w:eastAsia="Times New Roman" w:hAnsi="&amp;quot" w:cs="Times New Roman"/>
          <w:b/>
          <w:bCs/>
          <w:color w:val="000000"/>
          <w:sz w:val="27"/>
          <w:szCs w:val="27"/>
          <w:lang w:eastAsia="it-IT"/>
        </w:rPr>
        <w:t>piano del consumatore</w:t>
      </w:r>
      <w:r w:rsidRPr="003C6E16">
        <w:rPr>
          <w:rFonts w:ascii="&amp;quot" w:eastAsia="Times New Roman" w:hAnsi="&amp;quot" w:cs="Times New Roman"/>
          <w:color w:val="000000"/>
          <w:sz w:val="27"/>
          <w:szCs w:val="27"/>
          <w:lang w:eastAsia="it-IT"/>
        </w:rPr>
        <w:t>). Predisposto il piano, il mediatore, ritenuto terminato il proprio compito, poiché la relazione di fattibilità del piano del consumatore era di competenza dell’organismo della composizione della crisi da sovraindebitamento, onerava l’istante a procedere al deposito del piano al Tribunale competente per la relativa omologa.</w:t>
      </w:r>
      <w:r w:rsidRPr="003C6E16">
        <w:rPr>
          <w:rFonts w:ascii="&amp;quot" w:eastAsia="Times New Roman" w:hAnsi="&amp;quot" w:cs="Times New Roman"/>
          <w:color w:val="000000"/>
          <w:sz w:val="27"/>
          <w:szCs w:val="27"/>
          <w:lang w:eastAsia="it-IT"/>
        </w:rPr>
        <w:br/>
        <w:t xml:space="preserve">Depositata istanza di sovraindebitamento e successivamente la proposta di piano del consumatore e della sua fattibilità, il Tribunale, valutate le cause di indebitamento, la situazione patrimoniale dell’istante, le esigenze minime vitali, la fattibilità del piano e la </w:t>
      </w:r>
      <w:proofErr w:type="spellStart"/>
      <w:r w:rsidRPr="003C6E16">
        <w:rPr>
          <w:rFonts w:ascii="&amp;quot" w:eastAsia="Times New Roman" w:hAnsi="&amp;quot" w:cs="Times New Roman"/>
          <w:color w:val="000000"/>
          <w:sz w:val="27"/>
          <w:szCs w:val="27"/>
          <w:lang w:eastAsia="it-IT"/>
        </w:rPr>
        <w:t>meritevolezza</w:t>
      </w:r>
      <w:proofErr w:type="spellEnd"/>
      <w:r w:rsidRPr="003C6E16">
        <w:rPr>
          <w:rFonts w:ascii="&amp;quot" w:eastAsia="Times New Roman" w:hAnsi="&amp;quot" w:cs="Times New Roman"/>
          <w:color w:val="000000"/>
          <w:sz w:val="27"/>
          <w:szCs w:val="27"/>
          <w:lang w:eastAsia="it-IT"/>
        </w:rPr>
        <w:t xml:space="preserve"> del comportamento dell’istante, omologava il </w:t>
      </w:r>
      <w:r w:rsidRPr="003C6E16">
        <w:rPr>
          <w:rFonts w:ascii="&amp;quot" w:eastAsia="Times New Roman" w:hAnsi="&amp;quot" w:cs="Times New Roman"/>
          <w:color w:val="000000"/>
          <w:sz w:val="27"/>
          <w:szCs w:val="27"/>
          <w:lang w:eastAsia="it-IT"/>
        </w:rPr>
        <w:lastRenderedPageBreak/>
        <w:t xml:space="preserve">piano del consumatore. Il connubio fra i due istituti permetterà così alla debitrice l’esdebitazione da tutti i debiti così come stralciati nel piano, compreso quello per il quale tutta la procedura aveva avuto origine, ottenendo, per effetto dell’omologa del piano, anche la </w:t>
      </w:r>
      <w:r w:rsidRPr="003C6E16">
        <w:rPr>
          <w:rFonts w:ascii="&amp;quot" w:eastAsia="Times New Roman" w:hAnsi="&amp;quot" w:cs="Times New Roman"/>
          <w:b/>
          <w:bCs/>
          <w:color w:val="000000"/>
          <w:sz w:val="27"/>
          <w:szCs w:val="27"/>
          <w:lang w:eastAsia="it-IT"/>
        </w:rPr>
        <w:t xml:space="preserve">sospensione delle esecuzioni </w:t>
      </w:r>
      <w:r w:rsidRPr="003C6E16">
        <w:rPr>
          <w:rFonts w:ascii="&amp;quot" w:eastAsia="Times New Roman" w:hAnsi="&amp;quot" w:cs="Times New Roman"/>
          <w:color w:val="000000"/>
          <w:sz w:val="27"/>
          <w:szCs w:val="27"/>
          <w:lang w:eastAsia="it-IT"/>
        </w:rPr>
        <w:t xml:space="preserve">pendenti ex art. 12-bis. L. cit. </w:t>
      </w:r>
    </w:p>
    <w:p w14:paraId="5A96D3B3" w14:textId="77777777" w:rsidR="00B576B2" w:rsidRDefault="00B576B2">
      <w:bookmarkStart w:id="0" w:name="_GoBack"/>
      <w:bookmarkEnd w:id="0"/>
    </w:p>
    <w:sectPr w:rsidR="00B576B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34534"/>
    <w:rsid w:val="003C6E16"/>
    <w:rsid w:val="00434534"/>
    <w:rsid w:val="00B576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1ECE9"/>
  <w15:chartTrackingRefBased/>
  <w15:docId w15:val="{F3FC839A-A7B2-4A1A-84C9-6ADA3E5DD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80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2915</Characters>
  <Application>Microsoft Office Word</Application>
  <DocSecurity>0</DocSecurity>
  <Lines>24</Lines>
  <Paragraphs>6</Paragraphs>
  <ScaleCrop>false</ScaleCrop>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 Mazza</dc:creator>
  <cp:keywords/>
  <dc:description/>
  <cp:lastModifiedBy>Enrico Mazza</cp:lastModifiedBy>
  <cp:revision>2</cp:revision>
  <dcterms:created xsi:type="dcterms:W3CDTF">2019-02-11T07:39:00Z</dcterms:created>
  <dcterms:modified xsi:type="dcterms:W3CDTF">2019-02-11T07:40:00Z</dcterms:modified>
</cp:coreProperties>
</file>